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FE847" w14:textId="71C94C35"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What follows is a sample schedule for Transfer students. T</w:t>
      </w:r>
      <w:r w:rsidR="002D196B">
        <w:rPr>
          <w:rFonts w:ascii="Adobe Garamond Pro" w:hAnsi="Adobe Garamond Pro"/>
          <w:sz w:val="28"/>
          <w:szCs w:val="28"/>
        </w:rPr>
        <w:t>his schedule presumes you have two</w:t>
      </w:r>
      <w:r w:rsidRPr="0080251C">
        <w:rPr>
          <w:rFonts w:ascii="Adobe Garamond Pro" w:hAnsi="Adobe Garamond Pro"/>
          <w:sz w:val="28"/>
          <w:szCs w:val="28"/>
        </w:rPr>
        <w:t xml:space="preserve"> </w:t>
      </w:r>
      <w:bookmarkStart w:id="0" w:name="_GoBack"/>
      <w:bookmarkEnd w:id="0"/>
      <w:r w:rsidRPr="0080251C">
        <w:rPr>
          <w:rFonts w:ascii="Adobe Garamond Pro" w:hAnsi="Adobe Garamond Pro"/>
          <w:sz w:val="28"/>
          <w:szCs w:val="28"/>
        </w:rPr>
        <w:t>years of credit toward graduation, and will enable you to finish your History major in two years. This schedule presumes that you are bringing in no credit that counts toward the History major, since lower-level courses taught through AP, IB, and at community colleges generally do not count for the major. If you have taken course</w:t>
      </w:r>
      <w:r w:rsidR="00EB0FE7">
        <w:rPr>
          <w:rFonts w:ascii="Adobe Garamond Pro" w:hAnsi="Adobe Garamond Pro"/>
          <w:sz w:val="28"/>
          <w:szCs w:val="28"/>
        </w:rPr>
        <w:t>s</w:t>
      </w:r>
      <w:r w:rsidRPr="0080251C">
        <w:rPr>
          <w:rFonts w:ascii="Adobe Garamond Pro" w:hAnsi="Adobe Garamond Pro"/>
          <w:sz w:val="28"/>
          <w:szCs w:val="28"/>
        </w:rPr>
        <w:t xml:space="preserve"> that qualify as “upper-division” History courses, the credit earned will count toward the major.</w:t>
      </w:r>
    </w:p>
    <w:p w14:paraId="4EDEC69B" w14:textId="77777777" w:rsidR="0080251C" w:rsidRPr="0080251C" w:rsidRDefault="0080251C" w:rsidP="0080251C">
      <w:pPr>
        <w:rPr>
          <w:rFonts w:ascii="Adobe Garamond Pro" w:hAnsi="Adobe Garamond Pro"/>
          <w:sz w:val="28"/>
          <w:szCs w:val="28"/>
        </w:rPr>
      </w:pPr>
    </w:p>
    <w:p w14:paraId="537607D7" w14:textId="77777777" w:rsidR="0080251C" w:rsidRPr="0080251C" w:rsidRDefault="0080251C" w:rsidP="0080251C">
      <w:pPr>
        <w:rPr>
          <w:rFonts w:ascii="Adobe Garamond Pro" w:hAnsi="Adobe Garamond Pro"/>
          <w:sz w:val="28"/>
          <w:szCs w:val="28"/>
        </w:rPr>
      </w:pPr>
    </w:p>
    <w:p w14:paraId="7217B3A5"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This schedule does not indicate any study abroad or internship credit, but those credits can also count toward completion of the History major.</w:t>
      </w:r>
    </w:p>
    <w:tbl>
      <w:tblPr>
        <w:tblStyle w:val="TableGrid"/>
        <w:tblpPr w:leftFromText="180" w:rightFromText="180" w:vertAnchor="page" w:horzAnchor="page" w:tblpX="1909" w:tblpY="4321"/>
        <w:tblW w:w="5000" w:type="pct"/>
        <w:tblLook w:val="00A0" w:firstRow="1" w:lastRow="0" w:firstColumn="1" w:lastColumn="0" w:noHBand="0" w:noVBand="0"/>
      </w:tblPr>
      <w:tblGrid>
        <w:gridCol w:w="4428"/>
        <w:gridCol w:w="4428"/>
      </w:tblGrid>
      <w:tr w:rsidR="0080251C" w:rsidRPr="0080251C" w14:paraId="1E0C29A3" w14:textId="77777777" w:rsidTr="0080251C">
        <w:tc>
          <w:tcPr>
            <w:tcW w:w="2500" w:type="pct"/>
          </w:tcPr>
          <w:p w14:paraId="1253BA67" w14:textId="77777777" w:rsidR="0080251C" w:rsidRPr="0080251C" w:rsidRDefault="0080251C" w:rsidP="0080251C">
            <w:pPr>
              <w:jc w:val="center"/>
              <w:rPr>
                <w:rFonts w:ascii="Adobe Garamond Pro" w:hAnsi="Adobe Garamond Pro"/>
                <w:sz w:val="28"/>
                <w:szCs w:val="28"/>
              </w:rPr>
            </w:pPr>
            <w:r w:rsidRPr="0080251C">
              <w:rPr>
                <w:rFonts w:ascii="Adobe Garamond Pro" w:hAnsi="Adobe Garamond Pro"/>
                <w:sz w:val="28"/>
                <w:szCs w:val="28"/>
              </w:rPr>
              <w:t>Fall Semester</w:t>
            </w:r>
          </w:p>
        </w:tc>
        <w:tc>
          <w:tcPr>
            <w:tcW w:w="2500" w:type="pct"/>
          </w:tcPr>
          <w:p w14:paraId="3122C5D4" w14:textId="77777777" w:rsidR="0080251C" w:rsidRPr="0080251C" w:rsidRDefault="0080251C" w:rsidP="0080251C">
            <w:pPr>
              <w:jc w:val="center"/>
              <w:rPr>
                <w:rFonts w:ascii="Adobe Garamond Pro" w:hAnsi="Adobe Garamond Pro"/>
                <w:sz w:val="28"/>
                <w:szCs w:val="28"/>
              </w:rPr>
            </w:pPr>
            <w:r w:rsidRPr="0080251C">
              <w:rPr>
                <w:rFonts w:ascii="Adobe Garamond Pro" w:hAnsi="Adobe Garamond Pro"/>
                <w:sz w:val="28"/>
                <w:szCs w:val="28"/>
              </w:rPr>
              <w:t>Spring Semester</w:t>
            </w:r>
          </w:p>
        </w:tc>
      </w:tr>
      <w:tr w:rsidR="0080251C" w:rsidRPr="0080251C" w14:paraId="5E1A2402" w14:textId="77777777" w:rsidTr="0080251C">
        <w:tc>
          <w:tcPr>
            <w:tcW w:w="2500" w:type="pct"/>
          </w:tcPr>
          <w:p w14:paraId="53A620F7"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211</w:t>
            </w:r>
          </w:p>
          <w:p w14:paraId="274B79E6"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314</w:t>
            </w:r>
          </w:p>
          <w:p w14:paraId="1590420D"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3XX/4XX</w:t>
            </w:r>
          </w:p>
        </w:tc>
        <w:tc>
          <w:tcPr>
            <w:tcW w:w="2500" w:type="pct"/>
          </w:tcPr>
          <w:p w14:paraId="5A42A9DD"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212</w:t>
            </w:r>
          </w:p>
          <w:p w14:paraId="4A7B6584"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313</w:t>
            </w:r>
          </w:p>
          <w:p w14:paraId="7AF257CF"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3XX/4XX</w:t>
            </w:r>
          </w:p>
          <w:p w14:paraId="3E1F9EC1"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3XX/4XX</w:t>
            </w:r>
          </w:p>
        </w:tc>
      </w:tr>
      <w:tr w:rsidR="0080251C" w:rsidRPr="0080251C" w14:paraId="140784DF" w14:textId="77777777" w:rsidTr="0080251C">
        <w:tc>
          <w:tcPr>
            <w:tcW w:w="2500" w:type="pct"/>
          </w:tcPr>
          <w:p w14:paraId="2BE44F06"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3XX/4XX RESEARCH</w:t>
            </w:r>
          </w:p>
          <w:p w14:paraId="70B85B0A"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460 (REQ for Honors)</w:t>
            </w:r>
          </w:p>
          <w:p w14:paraId="6B8981DF"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3XX/4XX/5XX</w:t>
            </w:r>
          </w:p>
        </w:tc>
        <w:tc>
          <w:tcPr>
            <w:tcW w:w="2500" w:type="pct"/>
          </w:tcPr>
          <w:p w14:paraId="15482FF1"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 xml:space="preserve">HIST 400 </w:t>
            </w:r>
          </w:p>
          <w:p w14:paraId="0D63E1A2"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3XX/4XX/5XX</w:t>
            </w:r>
          </w:p>
          <w:p w14:paraId="4BD3B65A" w14:textId="77777777" w:rsidR="0080251C" w:rsidRPr="0080251C" w:rsidRDefault="0080251C" w:rsidP="0080251C">
            <w:pPr>
              <w:rPr>
                <w:rFonts w:ascii="Adobe Garamond Pro" w:hAnsi="Adobe Garamond Pro"/>
                <w:sz w:val="28"/>
                <w:szCs w:val="28"/>
              </w:rPr>
            </w:pPr>
            <w:r w:rsidRPr="0080251C">
              <w:rPr>
                <w:rFonts w:ascii="Adobe Garamond Pro" w:hAnsi="Adobe Garamond Pro"/>
                <w:sz w:val="28"/>
                <w:szCs w:val="28"/>
              </w:rPr>
              <w:t>HIST 3XX/4XX/5XX</w:t>
            </w:r>
          </w:p>
        </w:tc>
      </w:tr>
    </w:tbl>
    <w:p w14:paraId="7F81213F" w14:textId="77777777" w:rsidR="000F76A5" w:rsidRPr="0080251C" w:rsidRDefault="000F76A5">
      <w:pPr>
        <w:rPr>
          <w:rFonts w:ascii="Adobe Garamond Pro" w:hAnsi="Adobe Garamond Pro"/>
          <w:sz w:val="28"/>
          <w:szCs w:val="28"/>
        </w:rPr>
      </w:pPr>
    </w:p>
    <w:sectPr w:rsidR="000F76A5" w:rsidRPr="0080251C" w:rsidSect="006D300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obe Garamond Pro">
    <w:altName w:val="Nyal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1C"/>
    <w:rsid w:val="000F76A5"/>
    <w:rsid w:val="002D196B"/>
    <w:rsid w:val="006D3001"/>
    <w:rsid w:val="0080251C"/>
    <w:rsid w:val="00EB0F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4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1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51C"/>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1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51C"/>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Brammall</dc:creator>
  <cp:lastModifiedBy>Deanna</cp:lastModifiedBy>
  <cp:revision>2</cp:revision>
  <dcterms:created xsi:type="dcterms:W3CDTF">2014-02-23T06:13:00Z</dcterms:created>
  <dcterms:modified xsi:type="dcterms:W3CDTF">2014-02-23T06:13:00Z</dcterms:modified>
</cp:coreProperties>
</file>